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center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 xml:space="preserve">СЕЛЬСКОЕ ХОЗЯЙСТВО 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 </w:t>
      </w:r>
    </w:p>
    <w:p w14:paraId="03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1"/>
          <w:color w:val="000000"/>
          <w:sz w:val="28"/>
          <w:u w:val="none"/>
        </w:rPr>
        <w:t>Вступает в силу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1"/>
          <w:strike w:val="0"/>
          <w:color w:val="000000"/>
          <w:sz w:val="28"/>
          <w:u w:color="000000" w:val="none"/>
        </w:rPr>
        <w:t>Соглашение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1"/>
          <w:color w:val="000000"/>
          <w:sz w:val="28"/>
          <w:u w:val="none"/>
        </w:rPr>
        <w:t>о правилах выпуска (выдачи), обращения и погашения в рамках ЕАЭС складских свидетельств на сельскохозяйственную продукцию (01.06.2026)</w:t>
      </w:r>
    </w:p>
    <w:p w14:paraId="04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Соглашение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регулирует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правоотношения, связанные с выпуском (выдачей), обращением и погашением в рамках ЕАЭС складских свидетельств, и определяет требования, предъявляемые к складским свидетельствам.</w:t>
      </w:r>
    </w:p>
    <w:p w14:paraId="05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Выпуск (выдача), обращение и погашение в рамках ЕАЭС складских свидетельств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осуществляются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в соответствии с законодательством государств-членов с учетом положений Соглашения.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Складские свидетельства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обращаются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на бирже или внебиржевом рынке в соответствии с законодательством государства-члена.</w:t>
      </w: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Виды сельскохозяйственной продукции, на которые выпускаются (выдаются) складские свидетельства,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определяются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законодательством государства-члена.</w:t>
      </w:r>
    </w:p>
    <w:p w14:paraId="08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Складские свидетельства, выпущенные (выданные) в государствах-членах, включенные в реестры складских свидетельств и соответствующие требованиям Соглашения, взаимно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признаются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государствами-членами.</w:t>
      </w:r>
    </w:p>
    <w:p w14:paraId="09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(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Соглашение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(Заключено в г. Москве 31.07.2023); Федеральный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закон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от 23.03.2024 N 52-ФЗ)</w:t>
      </w:r>
    </w:p>
    <w:p w14:paraId="0A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p w14:paraId="0B000000">
      <w:pPr>
        <w:spacing w:after="0" w:before="0" w:line="240" w:lineRule="exact"/>
        <w:ind w:firstLine="0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Западно-Байкальская межрайонная</w:t>
      </w:r>
    </w:p>
    <w:p w14:paraId="0C000000">
      <w:pPr>
        <w:spacing w:after="0" w:before="0" w:line="240" w:lineRule="exact"/>
        <w:ind w:firstLine="0" w:left="0" w:righ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природоохранная прокуратура</w:t>
      </w:r>
    </w:p>
    <w:p w14:paraId="0D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Strong"/>
    <w:basedOn w:val="Style_8"/>
    <w:link w:val="Style_9_ch"/>
    <w:rPr>
      <w:b w:val="1"/>
    </w:rPr>
  </w:style>
  <w:style w:styleId="Style_9_ch" w:type="character">
    <w:name w:val="Strong"/>
    <w:basedOn w:val="Style_8_ch"/>
    <w:link w:val="Style_9"/>
    <w:rPr>
      <w:b w:val="1"/>
    </w:rPr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List Paragraph"/>
    <w:basedOn w:val="Style_1"/>
    <w:link w:val="Style_11_ch"/>
    <w:pPr>
      <w:widowControl w:val="1"/>
      <w:ind w:left="720"/>
      <w:contextualSpacing w:val="1"/>
    </w:pPr>
  </w:style>
  <w:style w:styleId="Style_11_ch" w:type="character">
    <w:name w:val="List Paragraph"/>
    <w:basedOn w:val="Style_1_ch"/>
    <w:link w:val="Style_11"/>
  </w:style>
  <w:style w:styleId="Style_12" w:type="paragraph">
    <w:name w:val="heading 5"/>
    <w:next w:val="Style_1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1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basedOn w:val="Style_8"/>
    <w:link w:val="Style_14_ch"/>
    <w:rPr>
      <w:color w:val="0000FF"/>
      <w:u w:val="single"/>
    </w:rPr>
  </w:style>
  <w:style w:styleId="Style_14_ch" w:type="character">
    <w:name w:val="Hyperlink"/>
    <w:basedOn w:val="Style_8_ch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1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1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1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6" w:type="table">
    <w:name w:val="Table Grid"/>
    <w:basedOn w:val="Style_2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2026-06-02T04:40:29Z</dcterms:created>
  <dcterms:modified xsi:type="dcterms:W3CDTF">2026-06-04T04:43:56Z</dcterms:modified>
</cp:coreProperties>
</file>